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E0" w:rsidRDefault="004839E0" w:rsidP="004839E0">
      <w:pPr>
        <w:jc w:val="center"/>
        <w:rPr>
          <w:b/>
          <w:sz w:val="32"/>
          <w:szCs w:val="32"/>
        </w:rPr>
      </w:pPr>
      <w:r w:rsidRPr="00F70147">
        <w:rPr>
          <w:b/>
          <w:sz w:val="32"/>
          <w:szCs w:val="32"/>
        </w:rPr>
        <w:t>Summary Curriculum Map</w:t>
      </w:r>
    </w:p>
    <w:p w:rsidR="00E32C08" w:rsidRDefault="00E32C08" w:rsidP="00E32C08">
      <w:pPr>
        <w:rPr>
          <w:color w:val="1F497D"/>
        </w:rPr>
      </w:pPr>
      <w:r>
        <w:rPr>
          <w:color w:val="1F497D"/>
        </w:rPr>
        <w:t xml:space="preserve">Students graduating in this program get B.S. degrees in biology and in chemistry.  Therefore they must fulfill the learning outcomes for each degree and should make up part of the major assessment pool for each department.  Rather than rewrite the learning outcomes for each department and propose to run a separate assessment for BCMB students, we are proposing to have their fulfillment of learning outcomes assessed by the departments, to then isolate the BCMB pool  and compare it to the pool of all majors to see if BCMB majors are falling short or excelling at certain outcomes, and to assess the one learning outcome unique to the program (integration of biology and chemistry in addressing a specific research project) using the student capstones.  The curriculum map consists only of those courses that are electives within either the biology or chemistry major, and are primarily considered as they address the unique learning outcome.  </w:t>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8"/>
        <w:gridCol w:w="677"/>
        <w:gridCol w:w="677"/>
        <w:gridCol w:w="1356"/>
        <w:gridCol w:w="810"/>
        <w:gridCol w:w="983"/>
        <w:gridCol w:w="1590"/>
        <w:gridCol w:w="1354"/>
        <w:gridCol w:w="677"/>
        <w:gridCol w:w="677"/>
        <w:gridCol w:w="678"/>
        <w:gridCol w:w="971"/>
      </w:tblGrid>
      <w:tr w:rsidR="006C47C2" w:rsidRPr="00B53A83" w:rsidTr="000749F2">
        <w:trPr>
          <w:trHeight w:val="785"/>
        </w:trPr>
        <w:tc>
          <w:tcPr>
            <w:tcW w:w="14167" w:type="dxa"/>
            <w:gridSpan w:val="11"/>
            <w:shd w:val="clear" w:color="auto" w:fill="EEECE1"/>
          </w:tcPr>
          <w:p w:rsidR="006C47C2" w:rsidRPr="001C4FB9" w:rsidRDefault="006C47C2" w:rsidP="001C4FB9">
            <w:pPr>
              <w:spacing w:line="240" w:lineRule="auto"/>
              <w:rPr>
                <w:rFonts w:ascii="Arial" w:eastAsia="Times New Roman" w:hAnsi="Arial" w:cs="Arial"/>
                <w:b/>
              </w:rPr>
            </w:pPr>
            <w:r w:rsidRPr="001C4FB9">
              <w:rPr>
                <w:rFonts w:ascii="Arial" w:eastAsia="Times New Roman" w:hAnsi="Arial" w:cs="Arial"/>
                <w:b/>
              </w:rPr>
              <w:t>If the course requires students to produce an artifact demonstrating student learning relevant to the outcome, indicate by placing the appropriate letter in the box (I = Introduced; D = Developed; M = Mastered). This form should be completed in concert with the “Student Learning Evidence Inventory” forms.</w:t>
            </w:r>
          </w:p>
        </w:tc>
        <w:tc>
          <w:tcPr>
            <w:tcW w:w="971" w:type="dxa"/>
            <w:shd w:val="clear" w:color="auto" w:fill="EEECE1"/>
          </w:tcPr>
          <w:p w:rsidR="006C47C2" w:rsidRPr="001C4FB9" w:rsidRDefault="006C47C2" w:rsidP="001C4FB9">
            <w:pPr>
              <w:spacing w:line="240" w:lineRule="auto"/>
              <w:rPr>
                <w:rFonts w:ascii="Arial" w:eastAsia="Times New Roman" w:hAnsi="Arial" w:cs="Arial"/>
                <w:b/>
              </w:rPr>
            </w:pPr>
          </w:p>
        </w:tc>
      </w:tr>
      <w:tr w:rsidR="006C47C2" w:rsidRPr="00B53A83" w:rsidTr="000749F2">
        <w:trPr>
          <w:trHeight w:val="525"/>
        </w:trPr>
        <w:tc>
          <w:tcPr>
            <w:tcW w:w="4688" w:type="dxa"/>
            <w:shd w:val="clear" w:color="auto" w:fill="000000"/>
          </w:tcPr>
          <w:p w:rsidR="006C47C2" w:rsidRPr="001C4FB9" w:rsidRDefault="006C47C2" w:rsidP="001C4FB9">
            <w:pPr>
              <w:spacing w:line="240" w:lineRule="auto"/>
              <w:jc w:val="center"/>
              <w:rPr>
                <w:b/>
                <w:bCs/>
                <w:sz w:val="20"/>
                <w:szCs w:val="20"/>
              </w:rPr>
            </w:pPr>
          </w:p>
        </w:tc>
        <w:tc>
          <w:tcPr>
            <w:tcW w:w="9479" w:type="dxa"/>
            <w:gridSpan w:val="10"/>
            <w:shd w:val="clear" w:color="auto" w:fill="DBE5F1"/>
          </w:tcPr>
          <w:p w:rsidR="006C47C2" w:rsidRPr="001C4FB9" w:rsidRDefault="006C47C2" w:rsidP="001C4FB9">
            <w:pPr>
              <w:spacing w:after="0"/>
              <w:jc w:val="center"/>
              <w:rPr>
                <w:b/>
                <w:bCs/>
                <w:sz w:val="20"/>
                <w:szCs w:val="20"/>
              </w:rPr>
            </w:pPr>
            <w:r w:rsidRPr="001C4FB9">
              <w:rPr>
                <w:b/>
                <w:bCs/>
                <w:sz w:val="20"/>
                <w:szCs w:val="20"/>
              </w:rPr>
              <w:t>COURSES</w:t>
            </w:r>
            <w:r w:rsidR="000749F2">
              <w:rPr>
                <w:b/>
                <w:bCs/>
                <w:sz w:val="20"/>
                <w:szCs w:val="20"/>
              </w:rPr>
              <w:t xml:space="preserve"> SPECIFICALLY REQUIRED FOR THE PROGRAM IN BIOCHEMISTRY AND MOLECULAR BIOLOGY (DOES NOT INCLUDE COURSES REQUIRED FOR ALL BIOLOGY OR CHEMISTRY MAJORS)</w:t>
            </w:r>
          </w:p>
        </w:tc>
        <w:tc>
          <w:tcPr>
            <w:tcW w:w="971" w:type="dxa"/>
            <w:shd w:val="clear" w:color="auto" w:fill="DBE5F1"/>
          </w:tcPr>
          <w:p w:rsidR="006C47C2" w:rsidRPr="001C4FB9" w:rsidRDefault="006C47C2" w:rsidP="001C4FB9">
            <w:pPr>
              <w:spacing w:after="0"/>
              <w:jc w:val="center"/>
              <w:rPr>
                <w:b/>
                <w:bCs/>
                <w:sz w:val="20"/>
                <w:szCs w:val="20"/>
              </w:rPr>
            </w:pPr>
          </w:p>
        </w:tc>
      </w:tr>
      <w:tr w:rsidR="00DF2E48" w:rsidRPr="00B53A83" w:rsidTr="002C7D19">
        <w:trPr>
          <w:trHeight w:val="505"/>
        </w:trPr>
        <w:tc>
          <w:tcPr>
            <w:tcW w:w="4688" w:type="dxa"/>
            <w:shd w:val="clear" w:color="auto" w:fill="DBE5F1"/>
          </w:tcPr>
          <w:p w:rsidR="00DF2E48" w:rsidRPr="001C4FB9" w:rsidRDefault="00DF2E48" w:rsidP="001C4FB9">
            <w:pPr>
              <w:spacing w:line="240" w:lineRule="auto"/>
              <w:rPr>
                <w:sz w:val="20"/>
                <w:szCs w:val="20"/>
              </w:rPr>
            </w:pPr>
            <w:r w:rsidRPr="001C4FB9">
              <w:rPr>
                <w:b/>
                <w:bCs/>
                <w:sz w:val="20"/>
                <w:szCs w:val="20"/>
              </w:rPr>
              <w:t>LEARNING OUTCOMES</w:t>
            </w:r>
          </w:p>
        </w:tc>
        <w:tc>
          <w:tcPr>
            <w:tcW w:w="677" w:type="dxa"/>
            <w:shd w:val="clear" w:color="auto" w:fill="DBE5F1"/>
          </w:tcPr>
          <w:p w:rsidR="00DF2E48" w:rsidRPr="001C4FB9" w:rsidRDefault="00DF2E48" w:rsidP="001C4FB9">
            <w:pPr>
              <w:spacing w:line="240" w:lineRule="auto"/>
              <w:rPr>
                <w:sz w:val="20"/>
                <w:szCs w:val="20"/>
              </w:rPr>
            </w:pPr>
            <w:r>
              <w:rPr>
                <w:sz w:val="20"/>
                <w:szCs w:val="20"/>
              </w:rPr>
              <w:t>BIOL 338</w:t>
            </w:r>
          </w:p>
        </w:tc>
        <w:tc>
          <w:tcPr>
            <w:tcW w:w="677" w:type="dxa"/>
            <w:shd w:val="clear" w:color="auto" w:fill="DBE5F1"/>
          </w:tcPr>
          <w:p w:rsidR="00DF2E48" w:rsidRPr="001C4FB9" w:rsidRDefault="00DF2E48" w:rsidP="001C4FB9">
            <w:pPr>
              <w:spacing w:line="240" w:lineRule="auto"/>
              <w:rPr>
                <w:sz w:val="20"/>
                <w:szCs w:val="20"/>
              </w:rPr>
            </w:pPr>
            <w:r>
              <w:rPr>
                <w:sz w:val="20"/>
                <w:szCs w:val="20"/>
              </w:rPr>
              <w:t>BIOL 334 or 344</w:t>
            </w:r>
          </w:p>
        </w:tc>
        <w:tc>
          <w:tcPr>
            <w:tcW w:w="1356" w:type="dxa"/>
            <w:shd w:val="clear" w:color="auto" w:fill="DBE5F1"/>
          </w:tcPr>
          <w:p w:rsidR="00DF2E48" w:rsidRPr="001C4FB9" w:rsidRDefault="00DF2E48" w:rsidP="001C4FB9">
            <w:pPr>
              <w:spacing w:line="240" w:lineRule="auto"/>
              <w:rPr>
                <w:sz w:val="20"/>
                <w:szCs w:val="20"/>
              </w:rPr>
            </w:pPr>
            <w:r>
              <w:rPr>
                <w:sz w:val="20"/>
                <w:szCs w:val="20"/>
              </w:rPr>
              <w:t>Two of: BIOL 325, 326, 342, 343, 345, 348, 356, CHEM 345</w:t>
            </w:r>
          </w:p>
        </w:tc>
        <w:tc>
          <w:tcPr>
            <w:tcW w:w="810" w:type="dxa"/>
            <w:shd w:val="clear" w:color="auto" w:fill="DBE5F1"/>
          </w:tcPr>
          <w:p w:rsidR="00DF2E48" w:rsidRPr="001C4FB9" w:rsidRDefault="00DF2E48" w:rsidP="001C4FB9">
            <w:pPr>
              <w:spacing w:line="240" w:lineRule="auto"/>
              <w:rPr>
                <w:sz w:val="20"/>
                <w:szCs w:val="20"/>
              </w:rPr>
            </w:pPr>
            <w:r>
              <w:rPr>
                <w:sz w:val="20"/>
                <w:szCs w:val="20"/>
              </w:rPr>
              <w:t>CHEM 320</w:t>
            </w:r>
          </w:p>
        </w:tc>
        <w:tc>
          <w:tcPr>
            <w:tcW w:w="983" w:type="dxa"/>
            <w:shd w:val="clear" w:color="auto" w:fill="DBE5F1"/>
          </w:tcPr>
          <w:p w:rsidR="00DF2E48" w:rsidRDefault="00DF2E48" w:rsidP="00DF2E48">
            <w:pPr>
              <w:spacing w:line="240" w:lineRule="auto"/>
              <w:rPr>
                <w:sz w:val="20"/>
                <w:szCs w:val="20"/>
              </w:rPr>
            </w:pPr>
            <w:r>
              <w:rPr>
                <w:sz w:val="20"/>
                <w:szCs w:val="20"/>
              </w:rPr>
              <w:t>CHEM research and seminar (378, 478, 394)</w:t>
            </w:r>
          </w:p>
          <w:p w:rsidR="00DF2E48" w:rsidRPr="001C4FB9" w:rsidRDefault="00DF2E48" w:rsidP="00DF2E48">
            <w:pPr>
              <w:spacing w:line="240" w:lineRule="auto"/>
              <w:rPr>
                <w:sz w:val="20"/>
                <w:szCs w:val="20"/>
              </w:rPr>
            </w:pPr>
          </w:p>
        </w:tc>
        <w:tc>
          <w:tcPr>
            <w:tcW w:w="1590" w:type="dxa"/>
            <w:shd w:val="clear" w:color="auto" w:fill="DBE5F1"/>
          </w:tcPr>
          <w:p w:rsidR="00DF2E48" w:rsidRDefault="00DF2E48" w:rsidP="00DF2E48">
            <w:pPr>
              <w:spacing w:line="240" w:lineRule="auto"/>
              <w:rPr>
                <w:sz w:val="20"/>
                <w:szCs w:val="20"/>
              </w:rPr>
            </w:pPr>
            <w:r>
              <w:rPr>
                <w:sz w:val="20"/>
                <w:szCs w:val="20"/>
              </w:rPr>
              <w:t xml:space="preserve">Or BIOL research and seminar (0ne of 403- 460, and 394, 495,and 496) </w:t>
            </w:r>
          </w:p>
          <w:p w:rsidR="00DF2E48" w:rsidRPr="001C4FB9" w:rsidRDefault="00DF2E48" w:rsidP="001C4FB9">
            <w:pPr>
              <w:spacing w:line="240" w:lineRule="auto"/>
              <w:rPr>
                <w:sz w:val="20"/>
                <w:szCs w:val="20"/>
              </w:rPr>
            </w:pPr>
          </w:p>
        </w:tc>
        <w:tc>
          <w:tcPr>
            <w:tcW w:w="1354" w:type="dxa"/>
            <w:shd w:val="clear" w:color="auto" w:fill="DBE5F1"/>
          </w:tcPr>
          <w:p w:rsidR="00DF2E48" w:rsidRPr="001C4FB9" w:rsidRDefault="00DF2E48" w:rsidP="001C4FB9">
            <w:pPr>
              <w:spacing w:line="240" w:lineRule="auto"/>
              <w:rPr>
                <w:sz w:val="20"/>
                <w:szCs w:val="20"/>
              </w:rPr>
            </w:pPr>
            <w:r>
              <w:rPr>
                <w:sz w:val="20"/>
                <w:szCs w:val="20"/>
              </w:rPr>
              <w:t>Or  BLCM interdisciplinary research and BIOL 394, 495, and 496 or CHEM 394</w:t>
            </w:r>
          </w:p>
        </w:tc>
        <w:tc>
          <w:tcPr>
            <w:tcW w:w="677" w:type="dxa"/>
            <w:shd w:val="clear" w:color="auto" w:fill="DBE5F1"/>
          </w:tcPr>
          <w:p w:rsidR="00DF2E48" w:rsidRPr="001C4FB9" w:rsidRDefault="00DF2E48" w:rsidP="001C4FB9">
            <w:pPr>
              <w:spacing w:line="240" w:lineRule="auto"/>
              <w:rPr>
                <w:sz w:val="20"/>
                <w:szCs w:val="20"/>
              </w:rPr>
            </w:pPr>
          </w:p>
        </w:tc>
        <w:tc>
          <w:tcPr>
            <w:tcW w:w="677" w:type="dxa"/>
            <w:shd w:val="clear" w:color="auto" w:fill="DBE5F1"/>
          </w:tcPr>
          <w:p w:rsidR="00DF2E48" w:rsidRPr="001C4FB9" w:rsidRDefault="00DF2E48" w:rsidP="001C4FB9">
            <w:pPr>
              <w:spacing w:line="240" w:lineRule="auto"/>
              <w:rPr>
                <w:sz w:val="20"/>
                <w:szCs w:val="20"/>
              </w:rPr>
            </w:pPr>
          </w:p>
        </w:tc>
        <w:tc>
          <w:tcPr>
            <w:tcW w:w="678" w:type="dxa"/>
            <w:shd w:val="clear" w:color="auto" w:fill="DBE5F1"/>
          </w:tcPr>
          <w:p w:rsidR="00DF2E48" w:rsidRPr="001C4FB9" w:rsidRDefault="00DF2E48" w:rsidP="001C4FB9">
            <w:pPr>
              <w:spacing w:line="240" w:lineRule="auto"/>
              <w:rPr>
                <w:sz w:val="20"/>
                <w:szCs w:val="20"/>
              </w:rPr>
            </w:pPr>
          </w:p>
        </w:tc>
        <w:tc>
          <w:tcPr>
            <w:tcW w:w="971" w:type="dxa"/>
            <w:shd w:val="clear" w:color="auto" w:fill="DBE5F1"/>
          </w:tcPr>
          <w:p w:rsidR="00DF2E48" w:rsidRPr="001C4FB9" w:rsidRDefault="00DF2E48" w:rsidP="001C4FB9">
            <w:pPr>
              <w:spacing w:line="240" w:lineRule="auto"/>
              <w:rPr>
                <w:sz w:val="20"/>
                <w:szCs w:val="20"/>
              </w:rPr>
            </w:pPr>
          </w:p>
        </w:tc>
      </w:tr>
      <w:tr w:rsidR="00DF2E48" w:rsidRPr="00B53A83" w:rsidTr="008A24BC">
        <w:trPr>
          <w:trHeight w:val="548"/>
        </w:trPr>
        <w:tc>
          <w:tcPr>
            <w:tcW w:w="4688" w:type="dxa"/>
          </w:tcPr>
          <w:p w:rsidR="00DF2E48" w:rsidRDefault="00DF2E48" w:rsidP="000749F2">
            <w:pPr>
              <w:pStyle w:val="PlainText"/>
              <w:rPr>
                <w:rFonts w:ascii="Times New Roman" w:hAnsi="Times New Roman"/>
                <w:sz w:val="24"/>
                <w:szCs w:val="24"/>
              </w:rPr>
            </w:pPr>
            <w:r>
              <w:rPr>
                <w:rFonts w:ascii="Times New Roman" w:hAnsi="Times New Roman"/>
                <w:sz w:val="24"/>
                <w:szCs w:val="24"/>
              </w:rPr>
              <w:t>1. F</w:t>
            </w:r>
            <w:r w:rsidRPr="000A7E86">
              <w:rPr>
                <w:rFonts w:ascii="Times New Roman" w:hAnsi="Times New Roman"/>
                <w:sz w:val="24"/>
                <w:szCs w:val="24"/>
              </w:rPr>
              <w:t>ulfill the learning outcomes expected of biology majors</w:t>
            </w:r>
            <w:r>
              <w:rPr>
                <w:rFonts w:ascii="Times New Roman" w:hAnsi="Times New Roman"/>
                <w:sz w:val="24"/>
                <w:szCs w:val="24"/>
              </w:rPr>
              <w:t>: see Biology curriculum map.</w:t>
            </w:r>
          </w:p>
          <w:p w:rsidR="00DF2E48" w:rsidRPr="001C4FB9" w:rsidRDefault="00DF2E48" w:rsidP="000749F2">
            <w:pPr>
              <w:pStyle w:val="ListParagraph"/>
              <w:autoSpaceDE w:val="0"/>
              <w:autoSpaceDN w:val="0"/>
              <w:adjustRightInd w:val="0"/>
              <w:spacing w:after="0" w:line="240" w:lineRule="auto"/>
              <w:ind w:left="2160"/>
              <w:rPr>
                <w:sz w:val="20"/>
                <w:szCs w:val="20"/>
              </w:rPr>
            </w:pPr>
          </w:p>
        </w:tc>
        <w:tc>
          <w:tcPr>
            <w:tcW w:w="677" w:type="dxa"/>
          </w:tcPr>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1356" w:type="dxa"/>
          </w:tcPr>
          <w:p w:rsidR="00DF2E48" w:rsidRPr="001C4FB9" w:rsidRDefault="00DF2E48" w:rsidP="001C4FB9">
            <w:pPr>
              <w:spacing w:line="240" w:lineRule="auto"/>
              <w:rPr>
                <w:sz w:val="20"/>
                <w:szCs w:val="20"/>
              </w:rPr>
            </w:pPr>
          </w:p>
        </w:tc>
        <w:tc>
          <w:tcPr>
            <w:tcW w:w="810" w:type="dxa"/>
          </w:tcPr>
          <w:p w:rsidR="00DF2E48" w:rsidRPr="001C4FB9" w:rsidRDefault="00DF2E48" w:rsidP="001C4FB9">
            <w:pPr>
              <w:spacing w:line="240" w:lineRule="auto"/>
              <w:rPr>
                <w:sz w:val="20"/>
                <w:szCs w:val="20"/>
              </w:rPr>
            </w:pPr>
          </w:p>
        </w:tc>
        <w:tc>
          <w:tcPr>
            <w:tcW w:w="983" w:type="dxa"/>
          </w:tcPr>
          <w:p w:rsidR="00DF2E48" w:rsidRPr="001C4FB9" w:rsidRDefault="00DF2E48" w:rsidP="001C4FB9">
            <w:pPr>
              <w:spacing w:line="240" w:lineRule="auto"/>
              <w:rPr>
                <w:sz w:val="20"/>
                <w:szCs w:val="20"/>
              </w:rPr>
            </w:pPr>
          </w:p>
        </w:tc>
        <w:tc>
          <w:tcPr>
            <w:tcW w:w="1590" w:type="dxa"/>
          </w:tcPr>
          <w:p w:rsidR="00DF2E48" w:rsidRPr="001C4FB9" w:rsidRDefault="00DF2E48" w:rsidP="001C4FB9">
            <w:pPr>
              <w:spacing w:line="240" w:lineRule="auto"/>
              <w:rPr>
                <w:sz w:val="20"/>
                <w:szCs w:val="20"/>
              </w:rPr>
            </w:pPr>
          </w:p>
        </w:tc>
        <w:tc>
          <w:tcPr>
            <w:tcW w:w="1354" w:type="dxa"/>
          </w:tcPr>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678" w:type="dxa"/>
          </w:tcPr>
          <w:p w:rsidR="00DF2E48" w:rsidRPr="001C4FB9" w:rsidRDefault="00DF2E48" w:rsidP="001C4FB9">
            <w:pPr>
              <w:spacing w:line="240" w:lineRule="auto"/>
              <w:rPr>
                <w:sz w:val="20"/>
                <w:szCs w:val="20"/>
              </w:rPr>
            </w:pPr>
          </w:p>
        </w:tc>
        <w:tc>
          <w:tcPr>
            <w:tcW w:w="971" w:type="dxa"/>
          </w:tcPr>
          <w:p w:rsidR="00DF2E48" w:rsidRPr="001C4FB9" w:rsidRDefault="00DF2E48" w:rsidP="001C4FB9">
            <w:pPr>
              <w:spacing w:line="240" w:lineRule="auto"/>
              <w:rPr>
                <w:sz w:val="20"/>
                <w:szCs w:val="20"/>
              </w:rPr>
            </w:pPr>
          </w:p>
        </w:tc>
      </w:tr>
      <w:tr w:rsidR="00DF2E48" w:rsidRPr="00B53A83" w:rsidTr="00912E8E">
        <w:trPr>
          <w:trHeight w:val="1133"/>
        </w:trPr>
        <w:tc>
          <w:tcPr>
            <w:tcW w:w="4688" w:type="dxa"/>
          </w:tcPr>
          <w:p w:rsidR="00DF2E48" w:rsidRDefault="00DF2E48" w:rsidP="000749F2">
            <w:pPr>
              <w:pStyle w:val="PlainText"/>
              <w:rPr>
                <w:rFonts w:ascii="Times New Roman" w:hAnsi="Times New Roman"/>
                <w:sz w:val="24"/>
                <w:szCs w:val="24"/>
              </w:rPr>
            </w:pPr>
            <w:r>
              <w:rPr>
                <w:rFonts w:ascii="Times New Roman" w:hAnsi="Times New Roman"/>
                <w:sz w:val="24"/>
                <w:szCs w:val="24"/>
              </w:rPr>
              <w:t>2. F</w:t>
            </w:r>
            <w:r w:rsidRPr="000A7E86">
              <w:rPr>
                <w:rFonts w:ascii="Times New Roman" w:hAnsi="Times New Roman"/>
                <w:sz w:val="24"/>
                <w:szCs w:val="24"/>
              </w:rPr>
              <w:t>ulfill the learning outcomes expected of chemistry majors</w:t>
            </w:r>
            <w:r>
              <w:rPr>
                <w:rFonts w:ascii="Times New Roman" w:hAnsi="Times New Roman"/>
                <w:sz w:val="24"/>
                <w:szCs w:val="24"/>
              </w:rPr>
              <w:t>: see Chemistry curriculum map.</w:t>
            </w:r>
          </w:p>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1356" w:type="dxa"/>
          </w:tcPr>
          <w:p w:rsidR="00DF2E48" w:rsidRPr="001C4FB9" w:rsidRDefault="00DF2E48" w:rsidP="001C4FB9">
            <w:pPr>
              <w:spacing w:line="240" w:lineRule="auto"/>
              <w:rPr>
                <w:sz w:val="20"/>
                <w:szCs w:val="20"/>
              </w:rPr>
            </w:pPr>
          </w:p>
        </w:tc>
        <w:tc>
          <w:tcPr>
            <w:tcW w:w="810" w:type="dxa"/>
          </w:tcPr>
          <w:p w:rsidR="00DF2E48" w:rsidRPr="001C4FB9" w:rsidRDefault="00DF2E48" w:rsidP="001C4FB9">
            <w:pPr>
              <w:spacing w:line="240" w:lineRule="auto"/>
              <w:rPr>
                <w:sz w:val="20"/>
                <w:szCs w:val="20"/>
              </w:rPr>
            </w:pPr>
          </w:p>
        </w:tc>
        <w:tc>
          <w:tcPr>
            <w:tcW w:w="983" w:type="dxa"/>
          </w:tcPr>
          <w:p w:rsidR="00DF2E48" w:rsidRPr="001C4FB9" w:rsidRDefault="00DF2E48" w:rsidP="001C4FB9">
            <w:pPr>
              <w:spacing w:line="240" w:lineRule="auto"/>
              <w:rPr>
                <w:sz w:val="20"/>
                <w:szCs w:val="20"/>
              </w:rPr>
            </w:pPr>
          </w:p>
        </w:tc>
        <w:tc>
          <w:tcPr>
            <w:tcW w:w="1590" w:type="dxa"/>
          </w:tcPr>
          <w:p w:rsidR="00DF2E48" w:rsidRPr="001C4FB9" w:rsidRDefault="00DF2E48" w:rsidP="001C4FB9">
            <w:pPr>
              <w:spacing w:line="240" w:lineRule="auto"/>
              <w:rPr>
                <w:sz w:val="20"/>
                <w:szCs w:val="20"/>
              </w:rPr>
            </w:pPr>
          </w:p>
        </w:tc>
        <w:tc>
          <w:tcPr>
            <w:tcW w:w="1354" w:type="dxa"/>
          </w:tcPr>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678" w:type="dxa"/>
          </w:tcPr>
          <w:p w:rsidR="00DF2E48" w:rsidRPr="001C4FB9" w:rsidRDefault="00DF2E48" w:rsidP="001C4FB9">
            <w:pPr>
              <w:spacing w:line="240" w:lineRule="auto"/>
              <w:rPr>
                <w:sz w:val="20"/>
                <w:szCs w:val="20"/>
              </w:rPr>
            </w:pPr>
          </w:p>
        </w:tc>
        <w:tc>
          <w:tcPr>
            <w:tcW w:w="971" w:type="dxa"/>
          </w:tcPr>
          <w:p w:rsidR="00DF2E48" w:rsidRPr="001C4FB9" w:rsidRDefault="00DF2E48" w:rsidP="001C4FB9">
            <w:pPr>
              <w:spacing w:line="240" w:lineRule="auto"/>
              <w:rPr>
                <w:sz w:val="20"/>
                <w:szCs w:val="20"/>
              </w:rPr>
            </w:pPr>
          </w:p>
        </w:tc>
      </w:tr>
      <w:tr w:rsidR="00DF2E48" w:rsidRPr="00B53A83" w:rsidTr="00DC0937">
        <w:trPr>
          <w:trHeight w:val="726"/>
        </w:trPr>
        <w:tc>
          <w:tcPr>
            <w:tcW w:w="4688" w:type="dxa"/>
          </w:tcPr>
          <w:p w:rsidR="00DF2E48" w:rsidRPr="001C4FB9" w:rsidRDefault="00DF2E48" w:rsidP="001C4FB9">
            <w:pPr>
              <w:spacing w:line="240" w:lineRule="auto"/>
              <w:rPr>
                <w:sz w:val="20"/>
                <w:szCs w:val="20"/>
              </w:rPr>
            </w:pPr>
            <w:r w:rsidRPr="000A7E86">
              <w:rPr>
                <w:rFonts w:ascii="Times New Roman" w:hAnsi="Times New Roman" w:cs="Times New Roman"/>
                <w:sz w:val="24"/>
                <w:szCs w:val="24"/>
              </w:rPr>
              <w:t xml:space="preserve">3. </w:t>
            </w:r>
            <w:r>
              <w:rPr>
                <w:rFonts w:ascii="Times New Roman" w:hAnsi="Times New Roman" w:cs="Times New Roman"/>
                <w:sz w:val="24"/>
                <w:szCs w:val="24"/>
              </w:rPr>
              <w:t>Will</w:t>
            </w:r>
            <w:r w:rsidRPr="000A7E86">
              <w:rPr>
                <w:rFonts w:ascii="Times New Roman" w:hAnsi="Times New Roman" w:cs="Times New Roman"/>
                <w:sz w:val="24"/>
                <w:szCs w:val="24"/>
              </w:rPr>
              <w:t xml:space="preserve"> integrate knowledge and skills from both disciplines to address a research question at the intersection of biology and chemistry.  </w:t>
            </w:r>
          </w:p>
        </w:tc>
        <w:tc>
          <w:tcPr>
            <w:tcW w:w="677" w:type="dxa"/>
          </w:tcPr>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1356" w:type="dxa"/>
          </w:tcPr>
          <w:p w:rsidR="00DF2E48" w:rsidRPr="001C4FB9" w:rsidRDefault="00DF2E48" w:rsidP="001C4FB9">
            <w:pPr>
              <w:spacing w:line="240" w:lineRule="auto"/>
              <w:rPr>
                <w:sz w:val="20"/>
                <w:szCs w:val="20"/>
              </w:rPr>
            </w:pPr>
          </w:p>
        </w:tc>
        <w:tc>
          <w:tcPr>
            <w:tcW w:w="810" w:type="dxa"/>
          </w:tcPr>
          <w:p w:rsidR="00DF2E48" w:rsidRPr="001C4FB9" w:rsidRDefault="00DF2E48" w:rsidP="001C4FB9">
            <w:pPr>
              <w:spacing w:line="240" w:lineRule="auto"/>
              <w:rPr>
                <w:sz w:val="20"/>
                <w:szCs w:val="20"/>
              </w:rPr>
            </w:pPr>
          </w:p>
        </w:tc>
        <w:tc>
          <w:tcPr>
            <w:tcW w:w="983" w:type="dxa"/>
          </w:tcPr>
          <w:p w:rsidR="00DF2E48" w:rsidRPr="001C4FB9" w:rsidRDefault="00344A24" w:rsidP="001C4FB9">
            <w:pPr>
              <w:spacing w:line="240" w:lineRule="auto"/>
              <w:rPr>
                <w:sz w:val="20"/>
                <w:szCs w:val="20"/>
              </w:rPr>
            </w:pPr>
            <w:r>
              <w:rPr>
                <w:sz w:val="20"/>
                <w:szCs w:val="20"/>
              </w:rPr>
              <w:t>M</w:t>
            </w:r>
          </w:p>
        </w:tc>
        <w:tc>
          <w:tcPr>
            <w:tcW w:w="1590" w:type="dxa"/>
          </w:tcPr>
          <w:p w:rsidR="00DF2E48" w:rsidRPr="001C4FB9" w:rsidRDefault="00344A24" w:rsidP="001C4FB9">
            <w:pPr>
              <w:spacing w:line="240" w:lineRule="auto"/>
              <w:rPr>
                <w:sz w:val="20"/>
                <w:szCs w:val="20"/>
              </w:rPr>
            </w:pPr>
            <w:r>
              <w:rPr>
                <w:sz w:val="20"/>
                <w:szCs w:val="20"/>
              </w:rPr>
              <w:t xml:space="preserve"> M</w:t>
            </w:r>
          </w:p>
        </w:tc>
        <w:tc>
          <w:tcPr>
            <w:tcW w:w="1354" w:type="dxa"/>
          </w:tcPr>
          <w:p w:rsidR="00DF2E48" w:rsidRPr="001C4FB9" w:rsidRDefault="00344A24" w:rsidP="001C4FB9">
            <w:pPr>
              <w:spacing w:line="240" w:lineRule="auto"/>
              <w:rPr>
                <w:sz w:val="20"/>
                <w:szCs w:val="20"/>
              </w:rPr>
            </w:pPr>
            <w:r>
              <w:rPr>
                <w:sz w:val="20"/>
                <w:szCs w:val="20"/>
              </w:rPr>
              <w:t>M</w:t>
            </w:r>
          </w:p>
        </w:tc>
        <w:tc>
          <w:tcPr>
            <w:tcW w:w="677" w:type="dxa"/>
          </w:tcPr>
          <w:p w:rsidR="00DF2E48" w:rsidRPr="001C4FB9" w:rsidRDefault="00DF2E48" w:rsidP="001C4FB9">
            <w:pPr>
              <w:spacing w:line="240" w:lineRule="auto"/>
              <w:rPr>
                <w:sz w:val="20"/>
                <w:szCs w:val="20"/>
              </w:rPr>
            </w:pPr>
          </w:p>
        </w:tc>
        <w:tc>
          <w:tcPr>
            <w:tcW w:w="677" w:type="dxa"/>
          </w:tcPr>
          <w:p w:rsidR="00DF2E48" w:rsidRPr="001C4FB9" w:rsidRDefault="00DF2E48" w:rsidP="001C4FB9">
            <w:pPr>
              <w:spacing w:line="240" w:lineRule="auto"/>
              <w:rPr>
                <w:sz w:val="20"/>
                <w:szCs w:val="20"/>
              </w:rPr>
            </w:pPr>
          </w:p>
        </w:tc>
        <w:tc>
          <w:tcPr>
            <w:tcW w:w="678" w:type="dxa"/>
          </w:tcPr>
          <w:p w:rsidR="00DF2E48" w:rsidRPr="001C4FB9" w:rsidRDefault="00DF2E48" w:rsidP="001C4FB9">
            <w:pPr>
              <w:spacing w:line="240" w:lineRule="auto"/>
              <w:rPr>
                <w:sz w:val="20"/>
                <w:szCs w:val="20"/>
              </w:rPr>
            </w:pPr>
          </w:p>
        </w:tc>
        <w:tc>
          <w:tcPr>
            <w:tcW w:w="971" w:type="dxa"/>
          </w:tcPr>
          <w:p w:rsidR="00DF2E48" w:rsidRPr="001C4FB9" w:rsidRDefault="00DF2E48" w:rsidP="001C4FB9">
            <w:pPr>
              <w:spacing w:line="240" w:lineRule="auto"/>
              <w:rPr>
                <w:sz w:val="20"/>
                <w:szCs w:val="20"/>
              </w:rPr>
            </w:pPr>
          </w:p>
        </w:tc>
      </w:tr>
    </w:tbl>
    <w:p w:rsidR="004839E0" w:rsidRDefault="004839E0" w:rsidP="004839E0"/>
    <w:p w:rsidR="004839E0" w:rsidRDefault="004839E0"/>
    <w:sectPr w:rsidR="004839E0" w:rsidSect="0017308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C2996"/>
    <w:multiLevelType w:val="hybridMultilevel"/>
    <w:tmpl w:val="1AEE9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E4EB4"/>
    <w:multiLevelType w:val="hybridMultilevel"/>
    <w:tmpl w:val="42A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AC4236F"/>
    <w:multiLevelType w:val="hybridMultilevel"/>
    <w:tmpl w:val="1AEE9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08A"/>
    <w:rsid w:val="00051913"/>
    <w:rsid w:val="000749F2"/>
    <w:rsid w:val="00124A20"/>
    <w:rsid w:val="001466D5"/>
    <w:rsid w:val="0017308A"/>
    <w:rsid w:val="001C4FB9"/>
    <w:rsid w:val="00344A24"/>
    <w:rsid w:val="00370186"/>
    <w:rsid w:val="003A124F"/>
    <w:rsid w:val="003E2DDF"/>
    <w:rsid w:val="00400B23"/>
    <w:rsid w:val="004839E0"/>
    <w:rsid w:val="004A4BE8"/>
    <w:rsid w:val="005E4FA0"/>
    <w:rsid w:val="006977F2"/>
    <w:rsid w:val="006C47C2"/>
    <w:rsid w:val="007F5FF0"/>
    <w:rsid w:val="00820360"/>
    <w:rsid w:val="00871EC5"/>
    <w:rsid w:val="0093778A"/>
    <w:rsid w:val="00995330"/>
    <w:rsid w:val="00A6040A"/>
    <w:rsid w:val="00A702B6"/>
    <w:rsid w:val="00AB2E9F"/>
    <w:rsid w:val="00CA438C"/>
    <w:rsid w:val="00D528C4"/>
    <w:rsid w:val="00DF2E48"/>
    <w:rsid w:val="00E20BDB"/>
    <w:rsid w:val="00E32C08"/>
    <w:rsid w:val="00E67F7A"/>
    <w:rsid w:val="00EB693B"/>
    <w:rsid w:val="00F171B0"/>
    <w:rsid w:val="00F70147"/>
    <w:rsid w:val="00F83AD5"/>
    <w:rsid w:val="00F84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8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39E0"/>
    <w:pPr>
      <w:ind w:left="720"/>
      <w:contextualSpacing/>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0749F2"/>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0749F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2D72-76AB-4018-9CD5-7C4A210B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Massa</dc:creator>
  <cp:lastModifiedBy>UOR User</cp:lastModifiedBy>
  <cp:revision>2</cp:revision>
  <cp:lastPrinted>2010-09-28T18:15:00Z</cp:lastPrinted>
  <dcterms:created xsi:type="dcterms:W3CDTF">2014-01-28T01:39:00Z</dcterms:created>
  <dcterms:modified xsi:type="dcterms:W3CDTF">2014-01-28T01:39:00Z</dcterms:modified>
</cp:coreProperties>
</file>